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302</w:t>
      </w:r>
    </w:p>
    <w:p>
      <w:r>
        <w:t>Bundesgericht (BGE), 2001-06-07, DE</w:t>
      </w:r>
    </w:p>
    <w:p>
      <w:r>
        <w:rPr>
          <w:b/>
        </w:rPr>
        <w:t xml:space="preserve">Quelle: </w:t>
      </w:r>
      <w:r>
        <w:t>https://mcp.opencaselaw.ch/entscheid/bge_127 II 302</w:t>
      </w:r>
    </w:p>
    <w:p>
      <w:r>
        <w:t>FR: ATF 127 II 302</w:t>
      </w:r>
    </w:p>
    <w:p>
      <w:r>
        <w:t>IT: DTF 127 II 302</w:t>
      </w:r>
    </w:p>
    <w:p>
      <w:pPr>
        <w:pStyle w:val="Heading2"/>
      </w:pPr>
      <w:r>
        <w:t>Regeste</w:t>
      </w:r>
    </w:p>
    <w:p>
      <w:r>
        <w:t>Regeste Art. 16 Abs. 2 SVG, Art. 31 Abs. 1 SVG und Art. 3 Abs. 1 VRV; Entzug des Führerausweises, Beherrschen des Fahrzeugs. Fall eines leichten Verschuldens, in dem ein Fahrzeuglenker auf einer mit Schneematsch bedeckten Autobahn mit einer den Strassenverhältnissen angepassten Geschwindigkeit fährt und beim Anblick von zwei auf dem Pannenstreifen stehenden Polizeifahrzeugen mit eingeschalteter Warnblinkanlage unwillkürlich auf die Bremse tritt, so dass die Räder blockieren und der Wagen ins Schleudern gerät.</w:t>
      </w:r>
    </w:p>
    <w:p>
      <w:pPr>
        <w:pStyle w:val="Heading2"/>
      </w:pPr>
      <w:r>
        <w:t>Erwägungen</w:t>
      </w:r>
    </w:p>
    <w:p>
      <w:r>
        <w:rPr>
          <w:b/>
        </w:rPr>
        <w:t>E. 3</w:t>
      </w:r>
    </w:p>
    <w:p>
      <w:r>
        <w:t>c)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der Verkehrsregelnverordnung vom 13. November 1962 [VRV; SR 741.11] ). Das Mass der Aufmerksamkeit, das vom Fahrzeuglenker verlangt wird, richtet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122 IV 225 E. 2b; BGE 120 IV 63 E. 2a; BGE 116 IV 230 E. 2). BGE 127 II 302 S. 304 d) Das dem Beschwerdeführer von der Vorinstanz zur Last gelegte Fehlverhalten erschöpft sich darin, dass er sich nach der Fahrt durch den künstlich erleuchteten Stefanshorntunnel durch die zwei unmittelbar nach der Tunnelausfahrt mit eingeschalteten Warnblinkanlagen auf dem Pannenstreifen stehenden Polizeifahrzeuge hat überraschen lassen und dabei unglücklich reagiert hat, indem er instinktiv auf die Bremse trat. Dass er auf die von ihm als Gefahr wahrgenommene Situation überhaupt reagierte, kann ihm nicht zum Vorwurf gereichen. Wohl hat er im entscheidenden Moment nicht erkannt, dass die Polizeifahrzeuge auf dem Pannenstreifen standen und insofern in Wirklichkeit für ihn auf der Überholspur keine Gefahr bestand, die ein brüskes Bremsen erfordert hätte. Indes kommt in diesem Zusammenhang den konkreten Umständen besonderes Gewicht zu. Unbestritten ist, dass der Beschwerdeführer seine Fahrgeschwindigkeit den mit Schneematsch bedeckten Strassen angepasst hatte und lediglich mit 60-70 km/h anstatt der signalisierten Höchstgeschwindigkeit von erlaubten 100 km/h fuhr. Insofern unterscheidet sich der zu beurteilende Fall von demjenigen, der BGE 126 II 192 zugrunde lag. In jenem Entscheid würdigte das Bundesgericht den Umstand, dass eine Fahrzeuglenkerin innerorts in einer leichten Kurve eine mit Schneematsch bedeckte Strasse mit der nur unter günstigen Verhältnissen zulässigen Höchstgeschwindigkeit von 50 km/h befahren hatte, als zumindest mittelschweres Verschulden. Der Beschwerdeführer hat hier zudem die ungewöhnliche Situation am Rande der Fahrbahn an sich richtig erkannt, wenn auch falsch eingeschätzt. Dass er seine Aufmerksamkeit nicht auf das Verkehrsgeschehen gerichtet hätte, trifft somit nicht zu. Aus dem Umstand, dass er seine Fahrt angesichts dieser von ihm als gefährlich interpretierten Verkehrslage abgebremst hat, lässt sich ihm kein Vorwurf machen. Ein Verschulden liegt allenfalls darin, dass er sein Fahrzeug nach dem brüsk eingeleiteten Bremsmanöver nicht mehr beherrschen konnte. Dies lag im zu beurteilenden Fall aber ausschliesslich an den misslichen Strassenverhältnissen und war somit, wie der Beschwerdeführer zu Recht einwendet, - jedenfalls für den durchschnittlich geübten Fahrer - die nicht beeinflussbare Folge eines im Ansatz grundsätzlich richtigen Fahrverhaltens. Der vom Beschwerdeführer verursachte Unfall ist daher letztlich das Ergebnis eines Zusammenspiels mehrerer unglücklicher Umstände. Bei dieser Sachlage ist die Annahme eines mittelschweren Falles nicht gerechtfertigt. Dem Beschwerdeführer ist höchstens ein leichtes Verschulden anzulasten, bei dem ein Entzug des Führerausweises BGE 127 II 302 S. 305 nicht angemessen ist. Dass ein Entzug des Ausweises hier einer Ermessensverletzung gleichkommt, ergibt sich auch aus dem langjährigen ungetrübten automobilistischen Leumund des Beschwerdeführers, der bei der Wahl der Sanktion im Falle leichten Verschuldens Bedeutung erlangt. Abgesehen davon ist bei einer Konstellation wie der vorliegenden, in der sich der Fahrzeuglenker im Grunde korrekt verhält, nicht ersichtlich, inwiefern ein Warnungsentzug seiner Besserung und der Bekämpfung von Rückfällen sollte dienen können. Das angefochtene Urteil verletzt somit Bundesrecht und die Beschwerde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